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7F36" w14:textId="422B224F" w:rsidR="002D0A02" w:rsidRPr="007C7527" w:rsidRDefault="002D0A02" w:rsidP="00D64248">
      <w:pPr>
        <w:jc w:val="right"/>
        <w:rPr>
          <w:rFonts w:ascii="Times New Roman" w:eastAsia="Times New Roman" w:hAnsi="Times New Roman" w:cs="Times New Roman"/>
          <w:b/>
          <w:bCs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752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Қосымша</w:t>
      </w:r>
    </w:p>
    <w:p w14:paraId="7E92A6DC" w14:textId="42244BC8" w:rsidR="002D0A02" w:rsidRPr="007C7527" w:rsidRDefault="002D0A02" w:rsidP="002D0A02">
      <w:pPr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proofErr w:type="spellStart"/>
      <w:r w:rsidRPr="00A229C5">
        <w:rPr>
          <w:rFonts w:ascii="Times New Roman" w:eastAsia="Times New Roman" w:hAnsi="Times New Roman" w:cs="Times New Roman"/>
          <w:b/>
          <w:bCs/>
          <w:lang w:eastAsia="ru-RU"/>
        </w:rPr>
        <w:t>Техни</w:t>
      </w:r>
      <w:proofErr w:type="spellEnd"/>
      <w:r w:rsidR="007C7527">
        <w:rPr>
          <w:rFonts w:ascii="Times New Roman" w:eastAsia="Times New Roman" w:hAnsi="Times New Roman" w:cs="Times New Roman"/>
          <w:b/>
          <w:bCs/>
          <w:lang w:val="kk-KZ" w:eastAsia="ru-RU"/>
        </w:rPr>
        <w:t>калық сипаттама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3133"/>
        <w:gridCol w:w="1446"/>
        <w:gridCol w:w="2370"/>
      </w:tblGrid>
      <w:tr w:rsidR="002D0A02" w:rsidRPr="00A229C5" w14:paraId="2D292817" w14:textId="77777777" w:rsidTr="005E0EB2">
        <w:tc>
          <w:tcPr>
            <w:tcW w:w="2396" w:type="dxa"/>
          </w:tcPr>
          <w:p w14:paraId="3AF82506" w14:textId="0594B9D7" w:rsidR="002D0A02" w:rsidRPr="007C7527" w:rsidRDefault="007C7527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атауы</w:t>
            </w:r>
          </w:p>
        </w:tc>
        <w:tc>
          <w:tcPr>
            <w:tcW w:w="3133" w:type="dxa"/>
          </w:tcPr>
          <w:p w14:paraId="5CB130CB" w14:textId="2178E10B" w:rsidR="002D0A02" w:rsidRPr="007C7527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proofErr w:type="spellStart"/>
            <w:r w:rsidRPr="00A229C5">
              <w:rPr>
                <w:rFonts w:ascii="Times New Roman" w:hAnsi="Times New Roman" w:cs="Times New Roman"/>
                <w:b/>
                <w:bCs/>
              </w:rPr>
              <w:t>Техни</w:t>
            </w:r>
            <w:proofErr w:type="spellEnd"/>
            <w:r w:rsidR="007C7527">
              <w:rPr>
                <w:rFonts w:ascii="Times New Roman" w:hAnsi="Times New Roman" w:cs="Times New Roman"/>
                <w:b/>
                <w:bCs/>
                <w:lang w:val="kk-KZ"/>
              </w:rPr>
              <w:t>калық сипаттама</w:t>
            </w:r>
          </w:p>
        </w:tc>
        <w:tc>
          <w:tcPr>
            <w:tcW w:w="1446" w:type="dxa"/>
          </w:tcPr>
          <w:p w14:paraId="14A9BEE1" w14:textId="1B67F104" w:rsidR="002D0A02" w:rsidRPr="007C7527" w:rsidRDefault="007C7527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Жеткізу мерзімі</w:t>
            </w:r>
          </w:p>
        </w:tc>
        <w:tc>
          <w:tcPr>
            <w:tcW w:w="2370" w:type="dxa"/>
          </w:tcPr>
          <w:p w14:paraId="4F0C7D21" w14:textId="397B68ED" w:rsidR="002D0A02" w:rsidRPr="007C7527" w:rsidRDefault="007C7527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Жеткізу орны</w:t>
            </w:r>
          </w:p>
        </w:tc>
      </w:tr>
      <w:tr w:rsidR="002D0A02" w:rsidRPr="00A229C5" w14:paraId="177D1F2E" w14:textId="77777777" w:rsidTr="005E0EB2">
        <w:tc>
          <w:tcPr>
            <w:tcW w:w="2396" w:type="dxa"/>
          </w:tcPr>
          <w:p w14:paraId="0FFF485D" w14:textId="77777777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E0EB2">
              <w:rPr>
                <w:rFonts w:ascii="Times New Roman" w:hAnsi="Times New Roman" w:cs="Times New Roman"/>
                <w:lang w:val="kk-KZ"/>
              </w:rPr>
              <w:t>Бөлгіш гелі 5.0 бар K2 ЭДТА бар вакуумдық түтіктер</w:t>
            </w:r>
          </w:p>
          <w:p w14:paraId="1EF3D0AD" w14:textId="77777777" w:rsidR="002D0A02" w:rsidRPr="005E0EB2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3133" w:type="dxa"/>
          </w:tcPr>
          <w:p w14:paraId="11F33D39" w14:textId="77777777" w:rsidR="007C7527" w:rsidRPr="007C7527" w:rsidRDefault="007C7527" w:rsidP="007C7527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7C7527">
              <w:rPr>
                <w:rFonts w:ascii="Times New Roman" w:hAnsi="Times New Roman" w:cs="Times New Roman"/>
                <w:lang w:val="kk-KZ"/>
              </w:rPr>
              <w:t>Пластикалық вакуум 100*13мм; жіпсіз биіктігі кемінде 1,8 см қақпақ; қанды репелленттік қасиеті бар бутил резеңкеден жасалған ішкі тығын; толтырғыш: антикоагулянт K2 ЭДТА және бөлгіш гель. Көлемі 5,0 мл</w:t>
            </w:r>
          </w:p>
          <w:p w14:paraId="0A9939EB" w14:textId="77777777" w:rsidR="002D0A02" w:rsidRPr="00A229C5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</w:tcPr>
          <w:p w14:paraId="334FA146" w14:textId="124B9AB2" w:rsidR="002D0A02" w:rsidRPr="00A229C5" w:rsidRDefault="005E0EB2" w:rsidP="008444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E0EB2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өтінімнен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кейін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күн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ішінде</w:t>
            </w:r>
            <w:proofErr w:type="spellEnd"/>
          </w:p>
        </w:tc>
        <w:tc>
          <w:tcPr>
            <w:tcW w:w="2370" w:type="dxa"/>
          </w:tcPr>
          <w:p w14:paraId="492F3F30" w14:textId="16D15D29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E0EB2">
              <w:rPr>
                <w:rFonts w:ascii="Times New Roman" w:hAnsi="Times New Roman" w:cs="Times New Roman"/>
                <w:lang w:val="kk-KZ"/>
              </w:rPr>
              <w:t>Өскемен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0EB2">
              <w:rPr>
                <w:rFonts w:ascii="Times New Roman" w:hAnsi="Times New Roman" w:cs="Times New Roman"/>
                <w:lang w:val="kk-KZ"/>
              </w:rPr>
              <w:t>қ, Буров</w:t>
            </w:r>
            <w:r>
              <w:rPr>
                <w:rFonts w:ascii="Times New Roman" w:hAnsi="Times New Roman" w:cs="Times New Roman"/>
                <w:lang w:val="kk-KZ"/>
              </w:rPr>
              <w:t xml:space="preserve"> көш</w:t>
            </w:r>
            <w:r w:rsidRPr="005E0EB2">
              <w:rPr>
                <w:rFonts w:ascii="Times New Roman" w:hAnsi="Times New Roman" w:cs="Times New Roman"/>
                <w:lang w:val="kk-KZ"/>
              </w:rPr>
              <w:t>, 21/1, дәріхана қоймасы  диагностикалық зертхана</w:t>
            </w:r>
          </w:p>
          <w:p w14:paraId="10EAB70D" w14:textId="77CE8773" w:rsidR="002D0A02" w:rsidRPr="005E0EB2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</w:tr>
      <w:tr w:rsidR="005E0EB2" w:rsidRPr="00A229C5" w14:paraId="617616BE" w14:textId="77777777" w:rsidTr="005E0EB2">
        <w:tc>
          <w:tcPr>
            <w:tcW w:w="2396" w:type="dxa"/>
          </w:tcPr>
          <w:p w14:paraId="3621D6B1" w14:textId="52EDAE14" w:rsidR="005E0EB2" w:rsidRPr="00A229C5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E0EB2">
              <w:rPr>
                <w:rFonts w:ascii="Times New Roman" w:hAnsi="Times New Roman" w:cs="Times New Roman"/>
              </w:rPr>
              <w:t>Бөлгіш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гелі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5.0 бар K2 ЭДТА бар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вакуумдық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түтіктер</w:t>
            </w:r>
            <w:proofErr w:type="spellEnd"/>
          </w:p>
        </w:tc>
        <w:tc>
          <w:tcPr>
            <w:tcW w:w="3133" w:type="dxa"/>
          </w:tcPr>
          <w:p w14:paraId="30B901D7" w14:textId="77777777" w:rsidR="007C7527" w:rsidRPr="007C7527" w:rsidRDefault="007C7527" w:rsidP="007C7527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7C7527">
              <w:rPr>
                <w:rFonts w:ascii="Times New Roman" w:hAnsi="Times New Roman" w:cs="Times New Roman"/>
                <w:lang w:val="kk-KZ"/>
              </w:rPr>
              <w:t>Пластикалық вакуум 100*13 мм; қақпақтың биіктігі кемінде 1,8 см жіпсіз; қанды репелленттік қасиеті бар бутил резеңкеден жасалған ішкі тығын; қосымша зат: ұйығыш белсендіргіш: құрғақ SiO және босататын гель. Көлемі 5,0 мл.</w:t>
            </w:r>
          </w:p>
          <w:p w14:paraId="4B3619DE" w14:textId="77777777" w:rsidR="005E0EB2" w:rsidRPr="00A229C5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</w:tcPr>
          <w:p w14:paraId="758B441E" w14:textId="45556B6F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E0EB2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өтінімнен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кейін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күн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ішінде</w:t>
            </w:r>
            <w:proofErr w:type="spellEnd"/>
          </w:p>
        </w:tc>
        <w:tc>
          <w:tcPr>
            <w:tcW w:w="2370" w:type="dxa"/>
          </w:tcPr>
          <w:p w14:paraId="0D100FBE" w14:textId="77777777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E0EB2">
              <w:rPr>
                <w:rFonts w:ascii="Times New Roman" w:hAnsi="Times New Roman" w:cs="Times New Roman"/>
                <w:lang w:val="kk-KZ"/>
              </w:rPr>
              <w:t>Өскемен қ, Буров көш, 21/1, дәріхана қоймасы  диагностикалық зертхана</w:t>
            </w:r>
          </w:p>
          <w:p w14:paraId="7AC1375E" w14:textId="1F68A85F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</w:tr>
      <w:tr w:rsidR="005E0EB2" w:rsidRPr="00A229C5" w14:paraId="54F7C5F5" w14:textId="77777777" w:rsidTr="005E0EB2">
        <w:tc>
          <w:tcPr>
            <w:tcW w:w="2396" w:type="dxa"/>
          </w:tcPr>
          <w:p w14:paraId="7CE623E2" w14:textId="77777777" w:rsidR="005E0EB2" w:rsidRPr="00A229C5" w:rsidRDefault="005E0EB2" w:rsidP="005E0EB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 xml:space="preserve">Спирт 70% </w:t>
            </w:r>
          </w:p>
          <w:p w14:paraId="0A537222" w14:textId="77777777" w:rsidR="005E0EB2" w:rsidRPr="00A229C5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3" w:type="dxa"/>
          </w:tcPr>
          <w:p w14:paraId="020C6C28" w14:textId="0CDD9D29" w:rsidR="005E0EB2" w:rsidRPr="00A229C5" w:rsidRDefault="005E0EB2" w:rsidP="005E0EB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Спирт 70% по 100,0 мл во флаконе.</w:t>
            </w:r>
          </w:p>
          <w:p w14:paraId="3E4E4689" w14:textId="77777777" w:rsidR="005E0EB2" w:rsidRPr="00A229C5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</w:tcPr>
          <w:p w14:paraId="5BF4DAD9" w14:textId="790765A6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E0EB2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өтінімнен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кейін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күн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ішінде</w:t>
            </w:r>
            <w:proofErr w:type="spellEnd"/>
          </w:p>
        </w:tc>
        <w:tc>
          <w:tcPr>
            <w:tcW w:w="2370" w:type="dxa"/>
          </w:tcPr>
          <w:p w14:paraId="4702C0EA" w14:textId="77777777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E0EB2">
              <w:rPr>
                <w:rFonts w:ascii="Times New Roman" w:hAnsi="Times New Roman" w:cs="Times New Roman"/>
                <w:lang w:val="kk-KZ"/>
              </w:rPr>
              <w:t>Өскемен қ, Буров көш, 21/1, дәріхана қоймасы  диагностикалық зертхана</w:t>
            </w:r>
          </w:p>
          <w:p w14:paraId="5B7C91F2" w14:textId="20D92F92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</w:tr>
      <w:tr w:rsidR="002D0A02" w:rsidRPr="00557EDA" w14:paraId="3645ABBE" w14:textId="77777777" w:rsidTr="005E0EB2">
        <w:tc>
          <w:tcPr>
            <w:tcW w:w="2396" w:type="dxa"/>
          </w:tcPr>
          <w:p w14:paraId="40722810" w14:textId="6B88CF14" w:rsidR="002D0A02" w:rsidRPr="00A229C5" w:rsidRDefault="005E0EB2" w:rsidP="008444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E0EB2">
              <w:rPr>
                <w:rFonts w:ascii="Times New Roman" w:hAnsi="Times New Roman" w:cs="Times New Roman"/>
              </w:rPr>
              <w:t>Индикаторлар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бумен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зарарсыздандыру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көп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параметрлі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химиялық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бір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реттік</w:t>
            </w:r>
            <w:proofErr w:type="spellEnd"/>
          </w:p>
        </w:tc>
        <w:tc>
          <w:tcPr>
            <w:tcW w:w="3133" w:type="dxa"/>
          </w:tcPr>
          <w:p w14:paraId="38C66875" w14:textId="77777777" w:rsidR="007C7527" w:rsidRPr="007C7527" w:rsidRDefault="007C7527" w:rsidP="007C752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ru-KZ"/>
              </w:rPr>
            </w:pPr>
            <w:r w:rsidRPr="007C752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Индикаторлар ауа стерилизациясының маңызды параметрлеріне – стерилизация әсерінің температурасы мен уақытына – 3 С максималды температура ауытқулары бар ауа стерилизаторларының камерасында сақталуын оперативті визуалды бақылауға арналған. Индикаторларды пайдалану сәйкессіздікті анықтауға мүмкіндік береді. зарарсыздандыру режимімен</w:t>
            </w:r>
            <w:r w:rsidR="00A229C5" w:rsidRPr="007C752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, </w:t>
            </w:r>
            <w:r w:rsidRPr="007C752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стерилизаторлардың техникалық ақауы, оларды тиеу ережелерінің бұзылуы, параметрлерді орнатудағы қате немесе олардың істен шығуы салдарынан және сол арқылы режимді бұза отырып өңделген медициналық бұйымдарды пайдалану мүмкіндігін болдырмайды.</w:t>
            </w:r>
          </w:p>
          <w:p w14:paraId="728B456C" w14:textId="77777777" w:rsidR="007C7527" w:rsidRPr="007C7527" w:rsidRDefault="007C7527" w:rsidP="007C7527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ru-KZ"/>
              </w:rPr>
            </w:pPr>
            <w:r w:rsidRPr="007C752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Көрсеткіштер зарарсыздандыру жабдықтарын басқаратын және басқаратын </w:t>
            </w:r>
            <w:r w:rsidRPr="007C752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lastRenderedPageBreak/>
              <w:t>мекемелердің, кәсіпорындардың және қызметтердің персоналының пайдалануына арналған.</w:t>
            </w:r>
          </w:p>
          <w:p w14:paraId="7677C267" w14:textId="0CFD7557" w:rsidR="002D0A02" w:rsidRPr="007C7527" w:rsidRDefault="002D0A02" w:rsidP="00A229C5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ru-KZ"/>
              </w:rPr>
            </w:pPr>
          </w:p>
        </w:tc>
        <w:tc>
          <w:tcPr>
            <w:tcW w:w="1446" w:type="dxa"/>
          </w:tcPr>
          <w:p w14:paraId="53F7A693" w14:textId="35239B53" w:rsidR="002D0A02" w:rsidRPr="00FA4AF7" w:rsidRDefault="005E0EB2" w:rsidP="008444B0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7C7527">
              <w:rPr>
                <w:lang w:val="ru-KZ"/>
              </w:rPr>
              <w:lastRenderedPageBreak/>
              <w:t xml:space="preserve"> </w:t>
            </w:r>
            <w:proofErr w:type="spellStart"/>
            <w:r w:rsidRPr="00FA4AF7">
              <w:rPr>
                <w:rFonts w:ascii="Times New Roman" w:hAnsi="Times New Roman" w:cs="Times New Roman"/>
                <w:lang w:val="ru-KZ"/>
              </w:rPr>
              <w:t>берілген</w:t>
            </w:r>
            <w:proofErr w:type="spellEnd"/>
            <w:r w:rsidRPr="00FA4AF7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FA4AF7">
              <w:rPr>
                <w:rFonts w:ascii="Times New Roman" w:hAnsi="Times New Roman" w:cs="Times New Roman"/>
                <w:lang w:val="ru-KZ"/>
              </w:rPr>
              <w:t>өтінімнен</w:t>
            </w:r>
            <w:proofErr w:type="spellEnd"/>
            <w:r w:rsidRPr="00FA4AF7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FA4AF7">
              <w:rPr>
                <w:rFonts w:ascii="Times New Roman" w:hAnsi="Times New Roman" w:cs="Times New Roman"/>
                <w:lang w:val="ru-KZ"/>
              </w:rPr>
              <w:t>кейін</w:t>
            </w:r>
            <w:proofErr w:type="spellEnd"/>
            <w:r w:rsidRPr="00FA4AF7">
              <w:rPr>
                <w:rFonts w:ascii="Times New Roman" w:hAnsi="Times New Roman" w:cs="Times New Roman"/>
                <w:lang w:val="ru-KZ"/>
              </w:rPr>
              <w:t xml:space="preserve"> 30 </w:t>
            </w:r>
            <w:proofErr w:type="spellStart"/>
            <w:r w:rsidRPr="00FA4AF7">
              <w:rPr>
                <w:rFonts w:ascii="Times New Roman" w:hAnsi="Times New Roman" w:cs="Times New Roman"/>
                <w:lang w:val="ru-KZ"/>
              </w:rPr>
              <w:t>күнтізбелік</w:t>
            </w:r>
            <w:proofErr w:type="spellEnd"/>
            <w:r w:rsidRPr="00FA4AF7">
              <w:rPr>
                <w:rFonts w:ascii="Times New Roman" w:hAnsi="Times New Roman" w:cs="Times New Roman"/>
                <w:lang w:val="ru-KZ"/>
              </w:rPr>
              <w:t xml:space="preserve">  </w:t>
            </w:r>
            <w:proofErr w:type="spellStart"/>
            <w:r w:rsidRPr="00FA4AF7">
              <w:rPr>
                <w:rFonts w:ascii="Times New Roman" w:hAnsi="Times New Roman" w:cs="Times New Roman"/>
                <w:lang w:val="ru-KZ"/>
              </w:rPr>
              <w:t>күн</w:t>
            </w:r>
            <w:proofErr w:type="spellEnd"/>
            <w:r w:rsidRPr="00FA4AF7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FA4AF7">
              <w:rPr>
                <w:rFonts w:ascii="Times New Roman" w:hAnsi="Times New Roman" w:cs="Times New Roman"/>
                <w:lang w:val="ru-KZ"/>
              </w:rPr>
              <w:t>ішінде</w:t>
            </w:r>
            <w:proofErr w:type="spellEnd"/>
          </w:p>
          <w:p w14:paraId="6B69EC64" w14:textId="77777777" w:rsidR="002D0A02" w:rsidRPr="00FA4AF7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2370" w:type="dxa"/>
          </w:tcPr>
          <w:p w14:paraId="4CF893A4" w14:textId="77777777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E0EB2">
              <w:rPr>
                <w:rFonts w:ascii="Times New Roman" w:hAnsi="Times New Roman" w:cs="Times New Roman"/>
                <w:lang w:val="kk-KZ"/>
              </w:rPr>
              <w:t>Өскемен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0EB2">
              <w:rPr>
                <w:rFonts w:ascii="Times New Roman" w:hAnsi="Times New Roman" w:cs="Times New Roman"/>
                <w:lang w:val="kk-KZ"/>
              </w:rPr>
              <w:t>қ, Буров</w:t>
            </w:r>
            <w:r>
              <w:rPr>
                <w:rFonts w:ascii="Times New Roman" w:hAnsi="Times New Roman" w:cs="Times New Roman"/>
                <w:lang w:val="kk-KZ"/>
              </w:rPr>
              <w:t xml:space="preserve"> көш</w:t>
            </w:r>
            <w:r w:rsidRPr="005E0EB2">
              <w:rPr>
                <w:rFonts w:ascii="Times New Roman" w:hAnsi="Times New Roman" w:cs="Times New Roman"/>
                <w:lang w:val="kk-KZ"/>
              </w:rPr>
              <w:t>, 21/1, дәріхана қоймасы  диагностикалық зертхана</w:t>
            </w:r>
          </w:p>
          <w:p w14:paraId="599EA5A6" w14:textId="04625F8F" w:rsidR="002D0A02" w:rsidRPr="005E0EB2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</w:tr>
      <w:tr w:rsidR="002D0A02" w:rsidRPr="00A229C5" w14:paraId="40E2A983" w14:textId="77777777" w:rsidTr="005E0EB2">
        <w:tc>
          <w:tcPr>
            <w:tcW w:w="2396" w:type="dxa"/>
          </w:tcPr>
          <w:p w14:paraId="29DA7B15" w14:textId="5FCDFF9F" w:rsidR="002D0A02" w:rsidRPr="00A229C5" w:rsidRDefault="005E0EB2" w:rsidP="008444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E0EB2">
              <w:rPr>
                <w:rFonts w:ascii="Times New Roman" w:hAnsi="Times New Roman" w:cs="Times New Roman"/>
              </w:rPr>
              <w:t>Хирургиялық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қайшы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доғал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0EB2">
              <w:rPr>
                <w:rFonts w:ascii="Times New Roman" w:hAnsi="Times New Roman" w:cs="Times New Roman"/>
              </w:rPr>
              <w:t>түзу</w:t>
            </w:r>
            <w:proofErr w:type="spellEnd"/>
          </w:p>
        </w:tc>
        <w:tc>
          <w:tcPr>
            <w:tcW w:w="3133" w:type="dxa"/>
          </w:tcPr>
          <w:p w14:paraId="5F3A3B2F" w14:textId="77777777" w:rsidR="007C7527" w:rsidRPr="007C7527" w:rsidRDefault="007C7527" w:rsidP="007C7527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7C7527">
              <w:rPr>
                <w:rFonts w:ascii="Times New Roman" w:hAnsi="Times New Roman" w:cs="Times New Roman"/>
                <w:lang w:val="kk-KZ"/>
              </w:rPr>
              <w:t>Хирургиялық қайшы, доғал, түзу</w:t>
            </w:r>
          </w:p>
          <w:p w14:paraId="3DB08D0D" w14:textId="77777777" w:rsidR="002D0A02" w:rsidRPr="00A229C5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</w:tcPr>
          <w:p w14:paraId="391FFCF2" w14:textId="386AC4AC" w:rsidR="002D0A02" w:rsidRPr="00A229C5" w:rsidRDefault="005E0EB2" w:rsidP="008444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E0EB2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өтінімнен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кейін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E0EB2">
              <w:rPr>
                <w:rFonts w:ascii="Times New Roman" w:hAnsi="Times New Roman" w:cs="Times New Roman"/>
              </w:rPr>
              <w:t>күн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EB2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5E0E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14:paraId="30E0D3E7" w14:textId="77777777" w:rsidR="005E0EB2" w:rsidRPr="005E0EB2" w:rsidRDefault="005E0EB2" w:rsidP="005E0EB2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5E0EB2">
              <w:rPr>
                <w:rFonts w:ascii="Times New Roman" w:hAnsi="Times New Roman" w:cs="Times New Roman"/>
                <w:lang w:val="kk-KZ"/>
              </w:rPr>
              <w:t>Өскемен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0EB2">
              <w:rPr>
                <w:rFonts w:ascii="Times New Roman" w:hAnsi="Times New Roman" w:cs="Times New Roman"/>
                <w:lang w:val="kk-KZ"/>
              </w:rPr>
              <w:t>қ, Буров</w:t>
            </w:r>
            <w:r>
              <w:rPr>
                <w:rFonts w:ascii="Times New Roman" w:hAnsi="Times New Roman" w:cs="Times New Roman"/>
                <w:lang w:val="kk-KZ"/>
              </w:rPr>
              <w:t xml:space="preserve"> көш</w:t>
            </w:r>
            <w:r w:rsidRPr="005E0EB2">
              <w:rPr>
                <w:rFonts w:ascii="Times New Roman" w:hAnsi="Times New Roman" w:cs="Times New Roman"/>
                <w:lang w:val="kk-KZ"/>
              </w:rPr>
              <w:t>, 21/1, дәріхана қоймасы  диагностикалық зертхана</w:t>
            </w:r>
          </w:p>
          <w:p w14:paraId="1B37A5DC" w14:textId="568E6C62" w:rsidR="002D0A02" w:rsidRPr="005E0EB2" w:rsidRDefault="002D0A02" w:rsidP="008444B0">
            <w:pPr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</w:tr>
    </w:tbl>
    <w:p w14:paraId="5DA97187" w14:textId="48753BBB" w:rsidR="002D0A02" w:rsidRPr="00A229C5" w:rsidRDefault="002D0A02" w:rsidP="002D0A02">
      <w:pPr>
        <w:jc w:val="center"/>
        <w:rPr>
          <w:rFonts w:ascii="Times New Roman" w:hAnsi="Times New Roman" w:cs="Times New Roman"/>
          <w:b/>
          <w:bCs/>
        </w:rPr>
      </w:pPr>
    </w:p>
    <w:p w14:paraId="64B8083C" w14:textId="50C344DE" w:rsidR="002D0A02" w:rsidRPr="00A229C5" w:rsidRDefault="007C7527" w:rsidP="002D0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Зертхана меңгерушісі</w:t>
      </w:r>
      <w:r w:rsidR="002D0A02" w:rsidRPr="00A229C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lang w:val="kk-KZ"/>
        </w:rPr>
        <w:t>О.В.</w:t>
      </w:r>
      <w:r w:rsidR="002D0A02" w:rsidRPr="00A229C5">
        <w:rPr>
          <w:rFonts w:ascii="Times New Roman" w:hAnsi="Times New Roman" w:cs="Times New Roman"/>
        </w:rPr>
        <w:t xml:space="preserve"> Корякина</w:t>
      </w:r>
    </w:p>
    <w:p w14:paraId="0E469236" w14:textId="4605B339" w:rsidR="002D0A02" w:rsidRPr="00A229C5" w:rsidRDefault="007C7527" w:rsidP="002D0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ЕАККжәнеД бөлім меңгерушісі     Н.А.</w:t>
      </w:r>
      <w:r w:rsidR="00A229C5">
        <w:rPr>
          <w:rFonts w:ascii="Times New Roman" w:hAnsi="Times New Roman" w:cs="Times New Roman"/>
        </w:rPr>
        <w:t xml:space="preserve"> </w:t>
      </w:r>
      <w:proofErr w:type="spellStart"/>
      <w:r w:rsidR="002D0A02" w:rsidRPr="00A229C5">
        <w:rPr>
          <w:rFonts w:ascii="Times New Roman" w:hAnsi="Times New Roman" w:cs="Times New Roman"/>
        </w:rPr>
        <w:t>Оралбаева</w:t>
      </w:r>
      <w:proofErr w:type="spellEnd"/>
      <w:r w:rsidR="002D0A02" w:rsidRPr="00A229C5">
        <w:rPr>
          <w:rFonts w:ascii="Times New Roman" w:hAnsi="Times New Roman" w:cs="Times New Roman"/>
        </w:rPr>
        <w:t xml:space="preserve"> </w:t>
      </w:r>
    </w:p>
    <w:p w14:paraId="7F1684D5" w14:textId="2A6284BF" w:rsidR="002D0A02" w:rsidRPr="00A229C5" w:rsidRDefault="002D0A02" w:rsidP="002D0A02">
      <w:pPr>
        <w:jc w:val="both"/>
        <w:rPr>
          <w:rFonts w:ascii="Times New Roman" w:hAnsi="Times New Roman" w:cs="Times New Roman"/>
        </w:rPr>
      </w:pPr>
      <w:proofErr w:type="spellStart"/>
      <w:r w:rsidRPr="00A229C5">
        <w:rPr>
          <w:rFonts w:ascii="Times New Roman" w:hAnsi="Times New Roman" w:cs="Times New Roman"/>
        </w:rPr>
        <w:t>эпид</w:t>
      </w:r>
      <w:proofErr w:type="spellEnd"/>
      <w:r w:rsidRPr="00A229C5">
        <w:rPr>
          <w:rFonts w:ascii="Times New Roman" w:hAnsi="Times New Roman" w:cs="Times New Roman"/>
        </w:rPr>
        <w:t>.</w:t>
      </w:r>
      <w:r w:rsidR="007C7527">
        <w:rPr>
          <w:rFonts w:ascii="Times New Roman" w:hAnsi="Times New Roman" w:cs="Times New Roman"/>
          <w:lang w:val="kk-KZ"/>
        </w:rPr>
        <w:t>бөлім меңгерушісі                 С.К.</w:t>
      </w:r>
      <w:proofErr w:type="spellStart"/>
      <w:r w:rsidRPr="00A229C5">
        <w:rPr>
          <w:rFonts w:ascii="Times New Roman" w:hAnsi="Times New Roman" w:cs="Times New Roman"/>
        </w:rPr>
        <w:t>Кениспекова</w:t>
      </w:r>
      <w:proofErr w:type="spellEnd"/>
      <w:r w:rsidRPr="00A229C5">
        <w:rPr>
          <w:rFonts w:ascii="Times New Roman" w:hAnsi="Times New Roman" w:cs="Times New Roman"/>
        </w:rPr>
        <w:t xml:space="preserve"> </w:t>
      </w:r>
    </w:p>
    <w:p w14:paraId="09D78000" w14:textId="0F7FEFC6" w:rsidR="00D64248" w:rsidRPr="00A229C5" w:rsidRDefault="00D64248" w:rsidP="002D0A02">
      <w:pPr>
        <w:jc w:val="both"/>
        <w:rPr>
          <w:rFonts w:ascii="Times New Roman" w:hAnsi="Times New Roman" w:cs="Times New Roman"/>
        </w:rPr>
      </w:pPr>
      <w:r w:rsidRPr="00A229C5">
        <w:rPr>
          <w:rFonts w:ascii="Times New Roman" w:hAnsi="Times New Roman" w:cs="Times New Roman"/>
        </w:rPr>
        <w:t xml:space="preserve">Фармацевт                      </w:t>
      </w:r>
      <w:r w:rsidR="00A229C5">
        <w:rPr>
          <w:rFonts w:ascii="Times New Roman" w:hAnsi="Times New Roman" w:cs="Times New Roman"/>
        </w:rPr>
        <w:t xml:space="preserve">        </w:t>
      </w:r>
      <w:r w:rsidR="007C7527">
        <w:rPr>
          <w:rFonts w:ascii="Times New Roman" w:hAnsi="Times New Roman" w:cs="Times New Roman"/>
          <w:lang w:val="kk-KZ"/>
        </w:rPr>
        <w:t xml:space="preserve">       Д.А </w:t>
      </w:r>
      <w:proofErr w:type="spellStart"/>
      <w:r w:rsidRPr="00A229C5">
        <w:rPr>
          <w:rFonts w:ascii="Times New Roman" w:hAnsi="Times New Roman" w:cs="Times New Roman"/>
        </w:rPr>
        <w:t>Ганчина</w:t>
      </w:r>
      <w:proofErr w:type="spellEnd"/>
      <w:r w:rsidRPr="00A229C5">
        <w:rPr>
          <w:rFonts w:ascii="Times New Roman" w:hAnsi="Times New Roman" w:cs="Times New Roman"/>
        </w:rPr>
        <w:t xml:space="preserve"> </w:t>
      </w:r>
    </w:p>
    <w:p w14:paraId="248BC64C" w14:textId="31CE8A19" w:rsidR="00D64248" w:rsidRPr="00A229C5" w:rsidRDefault="007C7527" w:rsidP="002D0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КЕЛІСІЛДІ</w:t>
      </w:r>
      <w:r w:rsidR="00D64248" w:rsidRPr="00A229C5">
        <w:rPr>
          <w:rFonts w:ascii="Times New Roman" w:hAnsi="Times New Roman" w:cs="Times New Roman"/>
        </w:rPr>
        <w:t>:</w:t>
      </w:r>
    </w:p>
    <w:p w14:paraId="04A25584" w14:textId="2CF39E21" w:rsidR="00D64248" w:rsidRPr="00A229C5" w:rsidRDefault="007C7527" w:rsidP="002D0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Заңкеңесші    </w:t>
      </w:r>
      <w:r w:rsidR="00D64248" w:rsidRPr="00A229C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kk-KZ"/>
        </w:rPr>
        <w:t>Т.Н.</w:t>
      </w:r>
      <w:r w:rsidR="00D64248" w:rsidRPr="00A229C5">
        <w:rPr>
          <w:rFonts w:ascii="Times New Roman" w:hAnsi="Times New Roman" w:cs="Times New Roman"/>
        </w:rPr>
        <w:t>Гуляева</w:t>
      </w:r>
    </w:p>
    <w:p w14:paraId="014B41E1" w14:textId="3F2B1806" w:rsidR="00FC73F7" w:rsidRPr="00A229C5" w:rsidRDefault="00FC73F7" w:rsidP="002D0A02">
      <w:pPr>
        <w:jc w:val="both"/>
        <w:rPr>
          <w:rFonts w:ascii="Times New Roman" w:hAnsi="Times New Roman" w:cs="Times New Roman"/>
        </w:rPr>
      </w:pPr>
    </w:p>
    <w:p w14:paraId="73457C5D" w14:textId="195C9F85" w:rsidR="00FC73F7" w:rsidRDefault="00FC73F7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606026" w14:textId="39555970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54EA0B" w14:textId="46A35EFE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801C8E" w14:textId="41D424BD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92467F" w14:textId="40A735D3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C8C8A1" w14:textId="56C5A553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643D03" w14:textId="5B859074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E1CAEB" w14:textId="3D3278D5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524697" w14:textId="736AE612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092ADC" w14:textId="65BE3088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58BFDA" w14:textId="03C4DDFF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854446" w14:textId="3D98F398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C5D09B" w14:textId="52E0A199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FD7973" w14:textId="77777777" w:rsidR="005E0EB2" w:rsidRDefault="005E0EB2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812D13" w14:textId="77777777" w:rsidR="00FA4AF7" w:rsidRDefault="00FA4AF7" w:rsidP="005E0EB2">
      <w:pPr>
        <w:jc w:val="righ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261910BD" w14:textId="77777777" w:rsidR="00FA4AF7" w:rsidRDefault="00FA4AF7" w:rsidP="005E0EB2">
      <w:pPr>
        <w:jc w:val="righ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6BD35D71" w14:textId="77777777" w:rsidR="00FA4AF7" w:rsidRDefault="00FA4AF7" w:rsidP="005E0EB2">
      <w:pPr>
        <w:jc w:val="righ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7D91CCD8" w14:textId="77777777" w:rsidR="00FA4AF7" w:rsidRDefault="00FA4AF7" w:rsidP="005E0EB2">
      <w:pPr>
        <w:jc w:val="right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19526378" w14:textId="2C688152" w:rsidR="005E0EB2" w:rsidRPr="008444B0" w:rsidRDefault="00A229C5" w:rsidP="00557ED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14:paraId="436243BF" w14:textId="08BEC372" w:rsidR="00FC73F7" w:rsidRPr="008444B0" w:rsidRDefault="00FC73F7" w:rsidP="002D0A0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C73F7" w:rsidRPr="0084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BE"/>
    <w:rsid w:val="00044D9B"/>
    <w:rsid w:val="002D0A02"/>
    <w:rsid w:val="00557EDA"/>
    <w:rsid w:val="005A34BE"/>
    <w:rsid w:val="005E0EB2"/>
    <w:rsid w:val="00722834"/>
    <w:rsid w:val="007C7527"/>
    <w:rsid w:val="008444B0"/>
    <w:rsid w:val="009B09FD"/>
    <w:rsid w:val="00A229C5"/>
    <w:rsid w:val="00CA140F"/>
    <w:rsid w:val="00D64248"/>
    <w:rsid w:val="00DD3C79"/>
    <w:rsid w:val="00FA4AF7"/>
    <w:rsid w:val="00FC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4C3C"/>
  <w15:chartTrackingRefBased/>
  <w15:docId w15:val="{561E5E8B-1E68-4F62-9FAD-2704CFA3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C75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52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9</cp:revision>
  <dcterms:created xsi:type="dcterms:W3CDTF">2023-03-16T09:56:00Z</dcterms:created>
  <dcterms:modified xsi:type="dcterms:W3CDTF">2023-03-17T06:59:00Z</dcterms:modified>
</cp:coreProperties>
</file>